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C25B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宁夏平罗工业园区总体规划修编（2023</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2035年）</w:t>
      </w: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lang w:val="en-US" w:eastAsia="zh-CN"/>
        </w:rPr>
        <w:t>（征求意见稿）</w:t>
      </w:r>
    </w:p>
    <w:p w14:paraId="7A0625E9">
      <w:pPr>
        <w:pageBreakBefore w:val="0"/>
        <w:widowControl w:val="0"/>
        <w:kinsoku/>
        <w:wordWrap/>
        <w:overflowPunct/>
        <w:topLinePunct w:val="0"/>
        <w:autoSpaceDE/>
        <w:autoSpaceDN/>
        <w:bidi w:val="0"/>
        <w:adjustRightInd/>
        <w:snapToGrid/>
        <w:spacing w:line="120" w:lineRule="auto"/>
        <w:ind w:firstLine="600"/>
        <w:textAlignment w:val="auto"/>
        <w:rPr>
          <w:rFonts w:hint="eastAsia"/>
          <w:lang w:val="en-US" w:eastAsia="zh-CN"/>
        </w:rPr>
      </w:pPr>
    </w:p>
    <w:p w14:paraId="60A2C45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《宁夏平罗工业园区总体规划修编（2023—2035年）》（以下简称《规划》）是</w:t>
      </w:r>
      <w:r>
        <w:rPr>
          <w:rFonts w:hint="eastAsia" w:ascii="仿宋_GB2312" w:hAnsi="仿宋_GB2312" w:eastAsia="仿宋_GB2312" w:cs="仿宋_GB2312"/>
          <w:sz w:val="32"/>
          <w:szCs w:val="32"/>
        </w:rPr>
        <w:t>有效实施创新驱动、绿色发展、高质量发展等发展战略，满足宁夏回族自治区和石嘴山市对宁夏平罗工业园区提出的更高发展要求，落实《平罗县国土空间总体规划（2021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对宁夏平罗工业园区的总体战略部署，明确城镇开发边界的划定；同时也为统筹、整合宁夏平罗工业园区现有资源，实现园区社会、产业、经济、环境的全面协调高质量发展，根据《中华人民共和国城乡规划法》（2019修正）、《中华人民共和国土地管理法》(2019年修正</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等相关法律法规，以及宁夏平罗工业园区发展现状，制定本规划。</w:t>
      </w:r>
    </w:p>
    <w:p w14:paraId="0265D8C6">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sz w:val="32"/>
          <w:szCs w:val="32"/>
        </w:rPr>
      </w:pPr>
      <w:r>
        <w:rPr>
          <w:rFonts w:ascii="黑体" w:hAnsi="宋体" w:eastAsia="黑体" w:cs="黑体"/>
          <w:b w:val="0"/>
          <w:bCs w:val="0"/>
          <w:color w:val="000000"/>
          <w:kern w:val="0"/>
          <w:sz w:val="32"/>
          <w:szCs w:val="32"/>
          <w:lang w:val="en-US" w:eastAsia="zh-CN" w:bidi="ar"/>
        </w:rPr>
        <w:t>一、规划范围</w:t>
      </w:r>
    </w:p>
    <w:p w14:paraId="07C8550D">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本次规划远期范围控制总面积为6864.94公顷。具体划分为3个区块，区块一、区块二和区块三。</w:t>
      </w:r>
    </w:p>
    <w:p w14:paraId="6E7F7407">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区块一控制面积为4153.36公顷，东至定远街，南至前进农场，西至包兰铁路，北至S302省道。</w:t>
      </w:r>
    </w:p>
    <w:p w14:paraId="7861596F">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区块二控制面积为2016.30公顷，东至乌沙路—都思图河，南至迎宾路，西至黄河街、金海路，北至花园街、都思图河东路。</w:t>
      </w:r>
    </w:p>
    <w:p w14:paraId="122542C4">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区块三控制面积为695.28公顷，东至银汝路，南至大水沟，西至中耀路、小水沟，北至S303省道。</w:t>
      </w:r>
    </w:p>
    <w:p w14:paraId="7B45F732">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bCs/>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二、规划期限</w:t>
      </w:r>
    </w:p>
    <w:p w14:paraId="46FB21AA">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规划期限为2023—2035年，其中以2022年为规划基期年。</w:t>
      </w:r>
    </w:p>
    <w:p w14:paraId="4637A4CB">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sz w:val="32"/>
          <w:szCs w:val="32"/>
        </w:rPr>
      </w:pPr>
      <w:r>
        <w:rPr>
          <w:rFonts w:hint="eastAsia" w:ascii="仿宋_GB2312" w:hAnsi="仿宋_GB2312" w:eastAsia="仿宋_GB2312" w:cs="仿宋_GB2312"/>
          <w:sz w:val="32"/>
          <w:szCs w:val="32"/>
        </w:rPr>
        <w:t>近期：2023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2025年；远期：2026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w:t>
      </w:r>
    </w:p>
    <w:p w14:paraId="2858A233">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val="0"/>
          <w:bCs w:val="0"/>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三、战略定位和规划目标</w:t>
      </w:r>
    </w:p>
    <w:p w14:paraId="3EBE63D3">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宁夏平罗工业园区是平罗县工业产业中心，是石嘴山市城镇发展主中心的重要组成部分，发展要立足工业产业基础，依托自治区“六新”产业布局，构建以“现代化工产业、新型材料产业、能源环保产业”三大产业集群为主导，以“现代物流产业”为配套的生态型工业体系，将建设成为宁夏重要的新型能源化工循环经济示范区。</w:t>
      </w:r>
    </w:p>
    <w:p w14:paraId="212D0E9B">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推动产业循环化为主线，深化园区改革，加快环境改善、完善设施建设、创新生产方式，实现产业转型升级，把宁夏平罗工业园区打造成为自治区及西北地区重要的循环经济产业集聚区、争取到2035年成为国家级技术开发区、宁夏重要的经济增长极。</w:t>
      </w:r>
    </w:p>
    <w:p w14:paraId="37885237">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val="0"/>
          <w:bCs w:val="0"/>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四、产业发展规划</w:t>
      </w:r>
    </w:p>
    <w:p w14:paraId="64D0762A">
      <w:pPr>
        <w:keepNext w:val="0"/>
        <w:keepLines w:val="0"/>
        <w:pageBreakBefore w:val="0"/>
        <w:kinsoku/>
        <w:wordWrap/>
        <w:overflowPunct/>
        <w:topLinePunct w:val="0"/>
        <w:autoSpaceDE/>
        <w:autoSpaceDN/>
        <w:bidi w:val="0"/>
        <w:adjustRightInd/>
        <w:snapToGrid/>
        <w:spacing w:line="560" w:lineRule="exact"/>
        <w:ind w:firstLine="600"/>
        <w:textAlignment w:val="auto"/>
        <w:rPr>
          <w:rFonts w:ascii="黑体" w:hAnsi="宋体" w:eastAsia="黑体" w:cs="黑体"/>
          <w:b/>
          <w:bCs/>
          <w:color w:val="000000"/>
          <w:kern w:val="0"/>
          <w:sz w:val="32"/>
          <w:szCs w:val="32"/>
          <w:lang w:val="en-US" w:eastAsia="zh-CN" w:bidi="ar"/>
        </w:rPr>
      </w:pPr>
      <w:r>
        <w:rPr>
          <w:rFonts w:hint="eastAsia" w:ascii="仿宋_GB2312" w:hAnsi="仿宋_GB2312" w:eastAsia="仿宋_GB2312" w:cs="仿宋_GB2312"/>
          <w:sz w:val="32"/>
          <w:szCs w:val="32"/>
        </w:rPr>
        <w:t>园区重点发展现代化工、新型材料、能源环保产业，以及发展其他与主导产业关联的鼓励类产业。坚持转型发展、循环发展和特色发展，切实将园区打造成新型能源化工循环经济区，走出一条特色化、差异化、集群化的发展道路，逐步形成集聚、集约、集群发展格局。坚持聚焦“六新六特六优+N”产业，持续优化产业结构、产能结构、产品结构，推动产业向高端化、绿色化、智能化、融合化发展，推进产业转型升级在全区走在前、作表率。</w:t>
      </w:r>
    </w:p>
    <w:p w14:paraId="75F6FA84">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val="0"/>
          <w:bCs w:val="0"/>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五、总体发展格局</w:t>
      </w:r>
    </w:p>
    <w:p w14:paraId="1A8DB9D0">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衔接《</w:t>
      </w:r>
      <w:r>
        <w:rPr>
          <w:rFonts w:hint="eastAsia" w:ascii="仿宋_GB2312" w:hAnsi="仿宋_GB2312" w:eastAsia="仿宋_GB2312" w:cs="仿宋_GB2312"/>
          <w:sz w:val="32"/>
          <w:szCs w:val="32"/>
          <w:lang w:val="en-US" w:eastAsia="zh-CN"/>
        </w:rPr>
        <w:t>平罗县</w:t>
      </w:r>
      <w:r>
        <w:rPr>
          <w:rFonts w:hint="eastAsia" w:ascii="仿宋_GB2312" w:hAnsi="仿宋_GB2312" w:eastAsia="仿宋_GB2312" w:cs="仿宋_GB2312"/>
          <w:sz w:val="32"/>
          <w:szCs w:val="32"/>
        </w:rPr>
        <w:t>国土空间总体规划（2021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2035年）》，推动宁夏平罗工业园区全面转型升级，实施工业园区基础设施提升改造，推动优势产业集群发展，构建形成“一园三区块”工业产业发展格局，其中一园为平罗工业园，三区块</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区块一、区块二、区块三3个区块。</w:t>
      </w:r>
    </w:p>
    <w:p w14:paraId="20487A2E">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sz w:val="32"/>
          <w:szCs w:val="32"/>
          <w:lang w:val="en-US"/>
        </w:rPr>
      </w:pPr>
      <w:r>
        <w:rPr>
          <w:rFonts w:hint="eastAsia" w:ascii="仿宋_GB2312" w:hAnsi="仿宋_GB2312" w:eastAsia="仿宋_GB2312" w:cs="仿宋_GB2312"/>
          <w:sz w:val="32"/>
          <w:szCs w:val="32"/>
          <w:lang w:val="en-US"/>
        </w:rPr>
        <w:t>依据现状产业发展、用地布局以及</w:t>
      </w:r>
      <w:r>
        <w:rPr>
          <w:rFonts w:hint="eastAsia" w:ascii="仿宋_GB2312" w:hAnsi="仿宋_GB2312" w:eastAsia="仿宋_GB2312" w:cs="仿宋_GB2312"/>
          <w:sz w:val="32"/>
          <w:szCs w:val="32"/>
          <w:lang w:val="en-US" w:eastAsia="zh-CN"/>
        </w:rPr>
        <w:t>“十四五”规划</w:t>
      </w:r>
      <w:r>
        <w:rPr>
          <w:rFonts w:hint="eastAsia" w:ascii="仿宋_GB2312" w:hAnsi="仿宋_GB2312" w:eastAsia="仿宋_GB2312" w:cs="仿宋_GB2312"/>
          <w:sz w:val="32"/>
          <w:szCs w:val="32"/>
          <w:lang w:val="en-US"/>
        </w:rPr>
        <w:t>产业发展方向，未来区块一用地总体结构为“一心两轴五区”的空间格局</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区块二用地总体结构为“一心两轴五区”的空间布局结构</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区块三用地总体结构为“一心两轴一区”的空间布局结构。</w:t>
      </w:r>
    </w:p>
    <w:p w14:paraId="5B38A0F0">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bCs/>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六、道路交通支撑体系</w:t>
      </w:r>
      <w:r>
        <w:rPr>
          <w:rFonts w:ascii="黑体" w:hAnsi="宋体" w:eastAsia="黑体" w:cs="黑体"/>
          <w:b/>
          <w:bCs/>
          <w:color w:val="000000"/>
          <w:kern w:val="0"/>
          <w:sz w:val="32"/>
          <w:szCs w:val="32"/>
          <w:lang w:val="en-US" w:eastAsia="zh-CN" w:bidi="ar"/>
        </w:rPr>
        <w:t xml:space="preserve"> </w:t>
      </w:r>
    </w:p>
    <w:p w14:paraId="5094E9F4">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sz w:val="32"/>
          <w:szCs w:val="32"/>
          <w:lang w:val="en-US"/>
        </w:rPr>
      </w:pPr>
      <w:r>
        <w:rPr>
          <w:rFonts w:hint="eastAsia" w:ascii="仿宋_GB2312" w:hAnsi="仿宋_GB2312" w:eastAsia="仿宋_GB2312" w:cs="仿宋_GB2312"/>
          <w:sz w:val="32"/>
          <w:szCs w:val="32"/>
          <w:lang w:val="en-US"/>
        </w:rPr>
        <w:t>与石嘴山、银川市交通资源对接，共享区域内空港、铁路交通设施。强化园区与火车站和河东机场交通通道建设。以多方式联运和集约化运输为主体，以国家、区域交通干线为骨架，大力发展铁路、公路运输业，提高园区综合交通运输能力。提高园区、平罗县城、大武口城区的交通可达性，加大园区道路、过境公路的建设力度，促进一体化发展。</w:t>
      </w:r>
    </w:p>
    <w:p w14:paraId="79E4EECC">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bCs/>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七、市政基础设施支撑体系</w:t>
      </w:r>
    </w:p>
    <w:p w14:paraId="44C30D3E">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rPr>
        <w:t>规划平罗县河西地区城乡供水水源替换工程建成后，区块一和区块三由大水沟水源地及银川都市圈城乡西线供水工程石嘴山支线“双水源”联合供给，满足平罗河西地区城乡及工业园供水需要；区块二供水由平罗河东地区供水二期工程（黄河水厂）供给。污水处理厂</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区块一现有工业污水处理厂有2座，即新安环保治理中心和循环经济试验区污水处理厂。区块二</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lang w:val="en-US"/>
        </w:rPr>
        <w:t>红崖子污水处理厂。区块三现状集中污水处理设施正在建设中，现有污水管网约30公里，园区各企业无工业污水排放，生活污水经化粪池沉淀后由第三方集中拉运处理，不外排。2023年，启动崇岗园区雨污水综合治理工程，待项目建成后，园区再生水、污水处理设施较为完善，新建污水处理站1座</w:t>
      </w:r>
      <w:r>
        <w:rPr>
          <w:rFonts w:hint="eastAsia" w:ascii="仿宋_GB2312" w:hAnsi="仿宋_GB2312" w:eastAsia="仿宋_GB2312" w:cs="仿宋_GB2312"/>
          <w:sz w:val="32"/>
          <w:szCs w:val="32"/>
          <w:lang w:val="en-US" w:eastAsia="zh-CN"/>
        </w:rPr>
        <w:t>。雨水管道规划方面：区块一按照地形特点和河流水系的分布，分片区排放，将雨水排至园区各片区末端雨水调蓄池。</w:t>
      </w:r>
    </w:p>
    <w:p w14:paraId="70BFCB57">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块二雨水管网布置结合园区地形条件及主要厂区布置情况，以大唐精细路为界，西侧沿道路由东向西敷设雨水主干管，将雨水排至园区西侧末端雨水调蓄池；东侧沿道路由东向西敷设雨水主干管，将雨水排至园区东侧末端雨水调蓄池。区块三雨水排放充分利用规划道路坡度及煤基炭材区块内冲沟，采用道路边沟与雨水管道相结合的排放方式。</w:t>
      </w:r>
    </w:p>
    <w:p w14:paraId="6BB99617">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力工程规划方面，区块一：根据用电负荷预测结果和总体规划布局，规划确定保留现状4座220KV变电站，分别为220KV平西变电站、220KV步桥变电站、220KV镇塑变电站、220KV城关变电站，5座110KV变电站，分别为110KV太沙变电站、110KV园林变电站、110KV平罗变电站、110KV通义变电站、110KV新利变电站，作为园区未来的电源。区块二：规划在园区南侧建设一座110KV金海变，在黄河东路和华泰东路交汇处东北侧新建模块化35kV红山变，形成园区双回路供电，彻底解决园区企业双电源供电问题。将区块二南侧新建的水泉110KV变电站纳入园区的电源范围，保障供电需求。区块三：不扩大生产、经营规模，不规划新产业项目，不新增电力负荷，煤基炭材区块原电力供应网络能够满足煤基炭材区块电力供应需求。对不符合规范要求的电力设施、线路重新布局。</w:t>
      </w:r>
    </w:p>
    <w:p w14:paraId="55DE22BA">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气源规划：</w:t>
      </w:r>
    </w:p>
    <w:p w14:paraId="35332B35">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区块一：规划天然气来源为沙湖天然气储配站，新增DN300次高压管道接入园区，预留气量为7亿立方/年。</w:t>
      </w:r>
    </w:p>
    <w:p w14:paraId="3F1486DE">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区块二：管道自乌银线红果子分输阀井接出后向东南方向敷设，经庙台乡、礼和乡到达平罗工业园区红崖子园门站，管道设计压4.0MPa，设计规模2.5×10^8 m³/a，本项目上游气源来自中石油昆仑燃气有限公司银川分公司红果子镇乌银线预留阀井（DN200）。</w:t>
      </w:r>
    </w:p>
    <w:p w14:paraId="27BE8E70">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区块三：规划天然气来源为大武口方向气源，经燃气调压站将上游DN200管道输送的高压天然气调压至次高压天然气，再通过次高压管线输配至园区，使供气管网稳定。</w:t>
      </w:r>
    </w:p>
    <w:p w14:paraId="7F99CCB3">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val="0"/>
          <w:bCs w:val="0"/>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综合防灾减灾</w:t>
      </w:r>
    </w:p>
    <w:p w14:paraId="7ACA9D30">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消防规划：区块一：规划设置消防站3座，其中特勤消防站1座，设置于园区公共服务区内；一级普通消防站2座，分别设置于园区中部以氰胺产业、特色冶金、碳基材料为主的区域，以及园区北部以化工集中为主的区域。区块二：规划设置消防站3座，其中特勤消防站1座，设置于园区综合服务基地内；一级普通消防站2座，分别设置于产业区块内。区块三：规划设置普通消防站1座，设置于园区综合服务基地内。</w:t>
      </w:r>
    </w:p>
    <w:p w14:paraId="568165B2">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防洪排涝规划：依据《平罗县国土空间总体规划（2021—2035年）》防洪标准》(GB50201-2014)，并参考《化工企业总图运输设计规范》(GB50489-2009）有关防洪的技术要求，确定园区防洪工程设计标准，区块一防洪标准达到20年一遇，区块二山洪防洪标准达到50年一遇，区块三防洪标准达到50年一遇。园区防洪工程与治涝工程统一规划，同步建设，与园区市政建设、海绵城市建设、环境建设相结合；工程措施与非工程措施相结合，防洪治涝规划与园区及周边泄洪沟、渠、塘整治和清障相结合。</w:t>
      </w:r>
    </w:p>
    <w:p w14:paraId="49F6D51F">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抗震规划：园区区域抗震设防基本烈度值为8度，设计基本地震动峰值加速度为0.20g。避难场所和疏散场地规划将城市绿地、公园、广场作为避难场所。</w:t>
      </w:r>
    </w:p>
    <w:p w14:paraId="6271FA9F">
      <w:pPr>
        <w:keepNext w:val="0"/>
        <w:keepLines w:val="0"/>
        <w:pageBreakBefore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综合指挥中心规划：结合园区行政中心设置宁夏平罗工业园区综合指挥中心一处。</w:t>
      </w:r>
    </w:p>
    <w:p w14:paraId="306992C7">
      <w:pPr>
        <w:keepNext w:val="0"/>
        <w:keepLines w:val="0"/>
        <w:pageBreakBefore w:val="0"/>
        <w:widowControl/>
        <w:numPr>
          <w:ilvl w:val="0"/>
          <w:numId w:val="1"/>
        </w:numPr>
        <w:suppressLineNumbers w:val="0"/>
        <w:kinsoku/>
        <w:wordWrap/>
        <w:overflowPunct/>
        <w:topLinePunct w:val="0"/>
        <w:autoSpaceDE/>
        <w:autoSpaceDN/>
        <w:bidi w:val="0"/>
        <w:adjustRightInd/>
        <w:snapToGrid/>
        <w:spacing w:line="560" w:lineRule="exact"/>
        <w:jc w:val="left"/>
        <w:textAlignment w:val="auto"/>
        <w:rPr>
          <w:rFonts w:ascii="黑体" w:hAnsi="宋体" w:eastAsia="黑体" w:cs="黑体"/>
          <w:b/>
          <w:bCs/>
          <w:color w:val="000000"/>
          <w:kern w:val="0"/>
          <w:sz w:val="32"/>
          <w:szCs w:val="32"/>
          <w:lang w:val="en-US" w:eastAsia="zh-CN" w:bidi="ar"/>
        </w:rPr>
      </w:pPr>
      <w:r>
        <w:rPr>
          <w:rFonts w:ascii="黑体" w:hAnsi="宋体" w:eastAsia="黑体" w:cs="黑体"/>
          <w:b w:val="0"/>
          <w:bCs w:val="0"/>
          <w:color w:val="000000"/>
          <w:kern w:val="0"/>
          <w:sz w:val="32"/>
          <w:szCs w:val="32"/>
          <w:lang w:val="en-US" w:eastAsia="zh-CN" w:bidi="ar"/>
        </w:rPr>
        <w:t>规划实施保障</w:t>
      </w:r>
    </w:p>
    <w:p w14:paraId="7B14452D">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eastAsia="仿宋"/>
          <w:lang w:val="en-US" w:eastAsia="zh-CN"/>
        </w:rPr>
      </w:pPr>
      <w:r>
        <w:rPr>
          <w:rFonts w:ascii="仿宋_GB2312" w:hAnsi="仿宋_GB2312" w:eastAsia="仿宋_GB2312" w:cs="仿宋_GB2312"/>
          <w:color w:val="000000"/>
          <w:kern w:val="0"/>
          <w:sz w:val="32"/>
          <w:szCs w:val="32"/>
          <w:lang w:val="en-US" w:eastAsia="zh-CN" w:bidi="ar"/>
        </w:rPr>
        <w:t>加强党的领导。充分发挥党总揽全局、协调各方的领导核心作用，树立一盘棋思想，强化规划监督落实，确保一张蓝图绘到底。强化规划传导。经依法批准的</w:t>
      </w:r>
      <w:r>
        <w:rPr>
          <w:rFonts w:hint="eastAsia" w:ascii="仿宋_GB2312" w:hAnsi="仿宋_GB2312" w:eastAsia="仿宋_GB2312" w:cs="仿宋_GB2312"/>
          <w:color w:val="000000"/>
          <w:kern w:val="0"/>
          <w:sz w:val="32"/>
          <w:szCs w:val="32"/>
          <w:lang w:val="en-US" w:eastAsia="zh-CN" w:bidi="ar"/>
        </w:rPr>
        <w:t>平罗工业园区</w:t>
      </w:r>
      <w:r>
        <w:rPr>
          <w:rFonts w:ascii="仿宋_GB2312" w:hAnsi="仿宋_GB2312" w:eastAsia="仿宋_GB2312" w:cs="仿宋_GB2312"/>
          <w:color w:val="000000"/>
          <w:kern w:val="0"/>
          <w:sz w:val="32"/>
          <w:szCs w:val="32"/>
          <w:lang w:val="en-US" w:eastAsia="zh-CN" w:bidi="ar"/>
        </w:rPr>
        <w:t>总体发展规划是</w:t>
      </w:r>
      <w:r>
        <w:rPr>
          <w:rFonts w:hint="eastAsia" w:ascii="仿宋_GB2312" w:hAnsi="仿宋_GB2312" w:eastAsia="仿宋_GB2312" w:cs="仿宋_GB2312"/>
          <w:color w:val="000000"/>
          <w:kern w:val="0"/>
          <w:sz w:val="32"/>
          <w:szCs w:val="32"/>
          <w:lang w:val="en-US" w:eastAsia="zh-CN" w:bidi="ar"/>
        </w:rPr>
        <w:t>工业园区</w:t>
      </w:r>
      <w:r>
        <w:rPr>
          <w:rFonts w:ascii="仿宋_GB2312" w:hAnsi="仿宋_GB2312" w:eastAsia="仿宋_GB2312" w:cs="仿宋_GB2312"/>
          <w:color w:val="000000"/>
          <w:kern w:val="0"/>
          <w:sz w:val="32"/>
          <w:szCs w:val="32"/>
          <w:lang w:val="en-US" w:eastAsia="zh-CN" w:bidi="ar"/>
        </w:rPr>
        <w:t>范围内开展各类开发建设活动、实施用途管制的基本依据，确保将本规划确定的管控要求分解落实到下</w:t>
      </w:r>
      <w:bookmarkStart w:id="0" w:name="_GoBack"/>
      <w:r>
        <w:rPr>
          <w:rFonts w:ascii="仿宋_GB2312" w:hAnsi="仿宋_GB2312" w:eastAsia="仿宋_GB2312" w:cs="仿宋_GB2312"/>
          <w:color w:val="000000"/>
          <w:kern w:val="0"/>
          <w:sz w:val="32"/>
          <w:szCs w:val="32"/>
          <w:lang w:val="en-US" w:eastAsia="zh-CN" w:bidi="ar"/>
        </w:rPr>
        <w:t>层级</w:t>
      </w:r>
      <w:bookmarkEnd w:id="0"/>
      <w:r>
        <w:rPr>
          <w:rFonts w:ascii="仿宋_GB2312" w:hAnsi="仿宋_GB2312" w:eastAsia="仿宋_GB2312" w:cs="仿宋_GB2312"/>
          <w:color w:val="000000"/>
          <w:kern w:val="0"/>
          <w:sz w:val="32"/>
          <w:szCs w:val="32"/>
          <w:lang w:val="en-US" w:eastAsia="zh-CN" w:bidi="ar"/>
        </w:rPr>
        <w:t>规划编制与实施当中。进行全生命周期管理。建立</w:t>
      </w:r>
      <w:r>
        <w:rPr>
          <w:rFonts w:hint="eastAsia" w:ascii="仿宋_GB2312" w:hAnsi="仿宋_GB2312" w:eastAsia="仿宋_GB2312" w:cs="仿宋_GB2312"/>
          <w:color w:val="000000"/>
          <w:kern w:val="0"/>
          <w:sz w:val="32"/>
          <w:szCs w:val="32"/>
          <w:lang w:val="en-US" w:eastAsia="zh-CN" w:bidi="ar"/>
        </w:rPr>
        <w:t>工业园区</w:t>
      </w:r>
      <w:r>
        <w:rPr>
          <w:rFonts w:ascii="仿宋_GB2312" w:hAnsi="仿宋_GB2312" w:eastAsia="仿宋_GB2312" w:cs="仿宋_GB2312"/>
          <w:color w:val="000000"/>
          <w:kern w:val="0"/>
          <w:sz w:val="32"/>
          <w:szCs w:val="32"/>
          <w:lang w:val="en-US" w:eastAsia="zh-CN" w:bidi="ar"/>
        </w:rPr>
        <w:t>规划实施动态评估调整机制，定期开展体检与评估，并将评估结果作为制定近期建设规划与年度计划、城镇开发边界优化、用地功能完善的重要依据。</w:t>
      </w:r>
    </w:p>
    <w:sectPr>
      <w:footerReference r:id="rId5" w:type="default"/>
      <w:pgSz w:w="11906" w:h="16838"/>
      <w:pgMar w:top="1984" w:right="1531" w:bottom="1417" w:left="1531" w:header="851" w:footer="141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1E9C">
    <w:pPr>
      <w:pStyle w:val="3"/>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19F181">
                          <w:pPr>
                            <w:pStyle w:val="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19F181">
                    <w:pPr>
                      <w:pStyle w:val="3"/>
                      <w:ind w:left="0" w:leftChars="0" w:firstLine="0" w:firstLineChars="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61309A"/>
    <w:multiLevelType w:val="singleLevel"/>
    <w:tmpl w:val="3C61309A"/>
    <w:lvl w:ilvl="0" w:tentative="0">
      <w:start w:val="8"/>
      <w:numFmt w:val="chineseCounting"/>
      <w:suff w:val="nothing"/>
      <w:lvlText w:val="%1、"/>
      <w:lvlJc w:val="left"/>
      <w:rPr>
        <w:rFonts w:hint="eastAsia" w:ascii="黑体" w:hAnsi="黑体" w:eastAsia="黑体" w:cs="黑体"/>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341CA"/>
    <w:rsid w:val="28D111DB"/>
    <w:rsid w:val="2BAB0A01"/>
    <w:rsid w:val="796341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6" w:lineRule="exact"/>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3142</Words>
  <Characters>3364</Characters>
  <Lines>0</Lines>
  <Paragraphs>0</Paragraphs>
  <TotalTime>26</TotalTime>
  <ScaleCrop>false</ScaleCrop>
  <LinksUpToDate>false</LinksUpToDate>
  <CharactersWithSpaces>3366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2025-01-15T00:02:00Z</dcterms:created>
  <dc:creator>魔fan</dc:creator>
  <cp:lastModifiedBy>蔚蔚蔚蓝天</cp:lastModifiedBy>
  <dcterms:modified xsi:type="dcterms:W3CDTF">2025-01-17T07:52:08Z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2762DD1B0E4B4928B2D6B8826859BA66_11</vt:lpwstr>
  </property>
  <property fmtid="{D5CDD505-2E9C-101B-9397-08002B2CF9AE}" pid="4" name="KSOTemplateDocerSaveRecord">
    <vt:lpwstr>eyJoZGlkIjoiM2QxMzZiYmJkMjU1OGJiZjRhYjkzN2U5NTAxNTBiZTIiLCJ1c2VySWQiOiIyMTA3NTQzODAifQ==</vt:lpwstr>
  </property>
</Properties>
</file>