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大武口区2023年星海镇临湖村和锦林办事处高标准农田建设（高效节水）项目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有关情况</w:t>
      </w:r>
    </w:p>
    <w:bookmarkEnd w:id="0"/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</w:rPr>
              <w:t>SZSGBZNT202</w:t>
            </w:r>
            <w:r>
              <w:rPr>
                <w:rFonts w:ascii="Times New Roman" w:hAnsi="Times New Roman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 xml:space="preserve"> 大武口区农业农村和水务局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  <w:lang w:eastAsia="zh-CN"/>
              </w:rPr>
              <w:t>大武口</w:t>
            </w: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区星海镇临湖村和锦林办事处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锦林片区南起贺兰山南路，北至大汝公路，西靠大荣公路，东临大峰沟。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szCs w:val="24"/>
              </w:rPr>
              <w:t>临湖村片区南以十分沟为界，北至十九斗渠，西靠隆湖公路，东至山青路。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1488亩。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锦林片区：（1）土壤改良面积878亩，全部增施有机肥。（2）首部枢纽工程：新建首部加压泵站1座，泵站包括过滤厂房及副厂房，总建筑面积90.67m²，电磁流量计井1座。（3）田间管网工程：布设主管2.043km，dn250 UPV干管2.477km，分干管7.679km， 软带6.726km，滴灌带532.387km；配套建筑物64座，管道穿柏油路拉管1处。（4）道路工程：布设生产路2条，总长0.904km。（5）农田防护与生态环境保护：在部分生产道路两侧补植林网，补植金叶榆374株。（6）自动化及信息化工程：首部分控中心建设工作站1台、路由器1台；首部配置现地LCU首部控制柜1台；蓄水池自动化监控系统建设雷达水位计1台；建设电动阀41台、智能阀门控制器32台，通信方式采用无线4G公网。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临湖村片区：(1)土地平整：推平农沟、农渠10条，长7.413km，长3.038km。（2）土壤改良610亩，全部增施有机肥和实施机深松。（3）首部枢纽工程：新建首部加压泵站1座，泵站包括主厂房、过滤厂房及副厂房，总建筑面积92.53m²，电磁流量计井1座。（4）田间管网工程：布设主管1.625km，干管1.061km，分干管7.000km，软带4.518km，滴灌带369.882km；配套建筑物36座；管道穿柏油路拉管1处，10kv线路改造（改地埋）1处。（5）暗管排水工程：暗管排水610亩，布设集水管1条，长0.933km，吸水管30条，长11.824km，检查井5座，新建光伏排水泵站1座。（6）自动化及信息化工程：首部分控中心建设工作站1台、路由器1台、网络球形摄像机4台（室外2台，布设与泵站院内及水库；室内2台，其中1台布设泵房内，1台布设在管理室内）；首部配置现地LCU首部控制柜1台；蓄水池自动化监控系统建设雷达水位计1台；建设电动阀26台、智能阀门控制器14台，通信方式采用无线4G公网。</w:t>
            </w:r>
          </w:p>
          <w:p>
            <w:pPr>
              <w:jc w:val="center"/>
              <w:rPr>
                <w:rFonts w:hint="eastAsia" w:ascii="宋体" w:hAnsi="宋体" w:eastAsia="等线" w:cs="宋体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3F42720"/>
    <w:rsid w:val="04323790"/>
    <w:rsid w:val="05A804A5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70930"/>
    <w:rsid w:val="10454F1F"/>
    <w:rsid w:val="11294F92"/>
    <w:rsid w:val="113642FB"/>
    <w:rsid w:val="119F0E18"/>
    <w:rsid w:val="123841CE"/>
    <w:rsid w:val="134F58E9"/>
    <w:rsid w:val="14A12387"/>
    <w:rsid w:val="15445593"/>
    <w:rsid w:val="18D75732"/>
    <w:rsid w:val="1B6A5707"/>
    <w:rsid w:val="1D150C0C"/>
    <w:rsid w:val="22F36D31"/>
    <w:rsid w:val="24BB2C9F"/>
    <w:rsid w:val="2536579D"/>
    <w:rsid w:val="25396D21"/>
    <w:rsid w:val="25CC3712"/>
    <w:rsid w:val="25FC6460"/>
    <w:rsid w:val="260470EF"/>
    <w:rsid w:val="264746DA"/>
    <w:rsid w:val="26B45EE8"/>
    <w:rsid w:val="26FE0BA7"/>
    <w:rsid w:val="28CA2A12"/>
    <w:rsid w:val="296F7822"/>
    <w:rsid w:val="2B0302B5"/>
    <w:rsid w:val="2B7C4C1C"/>
    <w:rsid w:val="2E1C2BB5"/>
    <w:rsid w:val="2FBA6AE5"/>
    <w:rsid w:val="30D90532"/>
    <w:rsid w:val="30DB6A63"/>
    <w:rsid w:val="32566326"/>
    <w:rsid w:val="328D704B"/>
    <w:rsid w:val="372E5A08"/>
    <w:rsid w:val="37A11D0B"/>
    <w:rsid w:val="3835578F"/>
    <w:rsid w:val="384349F3"/>
    <w:rsid w:val="38724B46"/>
    <w:rsid w:val="39280E04"/>
    <w:rsid w:val="3AAA6547"/>
    <w:rsid w:val="3AB704E3"/>
    <w:rsid w:val="3C4766BE"/>
    <w:rsid w:val="3CC17AC2"/>
    <w:rsid w:val="3D46445B"/>
    <w:rsid w:val="3D480C6A"/>
    <w:rsid w:val="3EA32D1F"/>
    <w:rsid w:val="3F33779A"/>
    <w:rsid w:val="40014784"/>
    <w:rsid w:val="413F61BD"/>
    <w:rsid w:val="4151603E"/>
    <w:rsid w:val="421E498F"/>
    <w:rsid w:val="439D058F"/>
    <w:rsid w:val="45AC7C5B"/>
    <w:rsid w:val="47561878"/>
    <w:rsid w:val="4C2A35CD"/>
    <w:rsid w:val="4C9540B5"/>
    <w:rsid w:val="4DAE52E1"/>
    <w:rsid w:val="4EDE15C1"/>
    <w:rsid w:val="4F7ECFEB"/>
    <w:rsid w:val="5025265A"/>
    <w:rsid w:val="50981FEF"/>
    <w:rsid w:val="51B533A8"/>
    <w:rsid w:val="51EB3FC7"/>
    <w:rsid w:val="526950E1"/>
    <w:rsid w:val="530B1565"/>
    <w:rsid w:val="534D7B86"/>
    <w:rsid w:val="53761F5D"/>
    <w:rsid w:val="543C7406"/>
    <w:rsid w:val="551158E6"/>
    <w:rsid w:val="55E47BFC"/>
    <w:rsid w:val="57C11BAD"/>
    <w:rsid w:val="581D3934"/>
    <w:rsid w:val="59403134"/>
    <w:rsid w:val="5AFB6283"/>
    <w:rsid w:val="5B56480C"/>
    <w:rsid w:val="5CF9739B"/>
    <w:rsid w:val="5E6956D5"/>
    <w:rsid w:val="5FAE3902"/>
    <w:rsid w:val="5FCE1535"/>
    <w:rsid w:val="61357E62"/>
    <w:rsid w:val="63EB015B"/>
    <w:rsid w:val="642B2139"/>
    <w:rsid w:val="677C4CD5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293D15"/>
    <w:rsid w:val="72A26407"/>
    <w:rsid w:val="72E67588"/>
    <w:rsid w:val="746E4FC1"/>
    <w:rsid w:val="75C1070D"/>
    <w:rsid w:val="75F61698"/>
    <w:rsid w:val="76096E6C"/>
    <w:rsid w:val="762F0E2C"/>
    <w:rsid w:val="77176EB5"/>
    <w:rsid w:val="7762556B"/>
    <w:rsid w:val="78590081"/>
    <w:rsid w:val="78687974"/>
    <w:rsid w:val="79183612"/>
    <w:rsid w:val="796A7B99"/>
    <w:rsid w:val="7A04797C"/>
    <w:rsid w:val="7B5D1784"/>
    <w:rsid w:val="7CE57918"/>
    <w:rsid w:val="7D8D510B"/>
    <w:rsid w:val="7DAC207D"/>
    <w:rsid w:val="7E834AB0"/>
    <w:rsid w:val="9EA2E28A"/>
    <w:rsid w:val="E9FE9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before="100" w:beforeLines="0" w:beforeAutospacing="1" w:after="120" w:afterLines="0"/>
      <w:ind w:left="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3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6">
    <w:name w:val="Body Text Indent"/>
    <w:basedOn w:val="1"/>
    <w:link w:val="19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7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footer"/>
    <w:basedOn w:val="1"/>
    <w:next w:val="9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next w:val="8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6">
    <w:name w:val="页眉 Char"/>
    <w:link w:val="9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7">
    <w:name w:val="页脚 Char"/>
    <w:link w:val="8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8">
    <w:name w:val="正文文本缩进 Char"/>
    <w:link w:val="6"/>
    <w:qFormat/>
    <w:uiPriority w:val="0"/>
    <w:rPr>
      <w:kern w:val="2"/>
      <w:sz w:val="28"/>
      <w:szCs w:val="24"/>
    </w:rPr>
  </w:style>
  <w:style w:type="character" w:customStyle="1" w:styleId="19">
    <w:name w:val="正文文本缩进 Char1"/>
    <w:basedOn w:val="14"/>
    <w:link w:val="6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1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  <w:style w:type="paragraph" w:customStyle="1" w:styleId="22">
    <w:name w:val="方正仿宋GBK三号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方正仿宋_GBK"/>
      <w:color w:val="00000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492</Words>
  <Characters>578</Characters>
  <Lines>16</Lines>
  <Paragraphs>4</Paragraphs>
  <TotalTime>4</TotalTime>
  <ScaleCrop>false</ScaleCrop>
  <LinksUpToDate>false</LinksUpToDate>
  <CharactersWithSpaces>588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2019-07-02T23:32:00Z</dcterms:created>
  <dc:creator>丁 凯</dc:creator>
  <cp:lastModifiedBy>➡️哧ふと杺⚽️</cp:lastModifiedBy>
  <cp:lastPrinted>2022-07-26T17:41:00Z</cp:lastPrinted>
  <dcterms:modified xsi:type="dcterms:W3CDTF">2023-09-07T06:56:29Z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