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37AA0">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43</w:t>
      </w:r>
      <w:r>
        <w:rPr>
          <w:rFonts w:hint="eastAsia" w:ascii="Times New Roman" w:hAnsi="Times New Roman" w:eastAsia="方正仿宋_GBK" w:cs="Times New Roman"/>
          <w:kern w:val="2"/>
          <w:sz w:val="32"/>
          <w:szCs w:val="32"/>
          <w:lang w:bidi="ar-SA"/>
        </w:rPr>
        <w:t>号</w:t>
      </w:r>
    </w:p>
    <w:p w14:paraId="3F86E30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E2D65E5">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w:t>
      </w:r>
      <w:r>
        <w:rPr>
          <w:rFonts w:hint="eastAsia" w:ascii="方正小标宋简体" w:hAnsi="方正小标宋简体" w:eastAsia="方正小标宋简体" w:cs="方正小标宋简体"/>
          <w:sz w:val="44"/>
          <w:szCs w:val="44"/>
          <w:lang w:val="en-US" w:eastAsia="zh-CN"/>
        </w:rPr>
        <w:t>政协十二届四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US" w:eastAsia="zh-CN"/>
        </w:rPr>
        <w:t>36</w:t>
      </w:r>
      <w:r>
        <w:rPr>
          <w:rFonts w:hint="default" w:ascii="方正小标宋简体" w:hAnsi="方正小标宋简体" w:eastAsia="方正小标宋简体" w:cs="方正小标宋简体"/>
          <w:sz w:val="44"/>
          <w:szCs w:val="44"/>
          <w:lang w:val="en-US" w:eastAsia="zh-CN"/>
        </w:rPr>
        <w:t>号</w:t>
      </w:r>
      <w:r>
        <w:rPr>
          <w:rFonts w:hint="eastAsia" w:ascii="方正小标宋简体" w:hAnsi="方正小标宋简体" w:eastAsia="方正小标宋简体" w:cs="方正小标宋简体"/>
          <w:sz w:val="44"/>
          <w:szCs w:val="44"/>
          <w:lang w:val="en-US" w:eastAsia="zh-CN"/>
        </w:rPr>
        <w:t>提案</w:t>
      </w:r>
    </w:p>
    <w:p w14:paraId="27785781">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38C71CB5">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32FA44B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民革市委会：</w:t>
      </w:r>
    </w:p>
    <w:p w14:paraId="250E5EC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您提出的《关于</w:t>
      </w:r>
      <w:bookmarkStart w:id="0" w:name="OLE_LINK1"/>
      <w:r>
        <w:rPr>
          <w:rFonts w:hint="default" w:ascii="Times New Roman" w:hAnsi="Times New Roman" w:eastAsia="方正仿宋_GBK" w:cs="Times New Roman"/>
          <w:b w:val="0"/>
          <w:bCs w:val="0"/>
          <w:color w:val="auto"/>
          <w:sz w:val="32"/>
          <w:szCs w:val="32"/>
          <w:lang w:val="en-US" w:eastAsia="zh-CN"/>
        </w:rPr>
        <w:t>解决水田改旱田后土壤返盐问题</w:t>
      </w:r>
      <w:bookmarkEnd w:id="0"/>
      <w:r>
        <w:rPr>
          <w:rFonts w:hint="default" w:ascii="Times New Roman" w:hAnsi="Times New Roman" w:eastAsia="方正仿宋_GBK" w:cs="Times New Roman"/>
          <w:b w:val="0"/>
          <w:bCs w:val="0"/>
          <w:color w:val="auto"/>
          <w:sz w:val="32"/>
          <w:szCs w:val="32"/>
          <w:lang w:val="en-US" w:eastAsia="zh-CN"/>
        </w:rPr>
        <w:t>的提案》收悉，现答复如下：</w:t>
      </w:r>
    </w:p>
    <w:p w14:paraId="58F8BB1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石嘴山灌区地处宁夏灌区排灌沟渠末端，承载着宁夏灌区农田和沟渠的蓄、排水功能。由于宁夏灌区上游农田和沟渠渗漏和汇集，造成石嘴山灌区积水多，水位高，排水不畅，盐碱地分布广，面积大，程度重，是宁夏引黄灌区土壤盐碱化面积较大的区域之一。水权改革后，石嘴山灌区部分种植水稻的耕地改种玉米和小麦等农作物。 </w:t>
      </w:r>
    </w:p>
    <w:p w14:paraId="1E0C895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一是强化耐盐碱作物推广。</w:t>
      </w:r>
      <w:r>
        <w:rPr>
          <w:rFonts w:hint="default" w:ascii="Times New Roman" w:hAnsi="Times New Roman" w:eastAsia="方正仿宋_GBK" w:cs="Times New Roman"/>
          <w:b w:val="0"/>
          <w:bCs w:val="0"/>
          <w:color w:val="auto"/>
          <w:sz w:val="32"/>
          <w:szCs w:val="32"/>
          <w:lang w:val="en-US" w:eastAsia="zh-CN"/>
        </w:rPr>
        <w:t xml:space="preserve">市县农技推广部门加强耐盐碱农作物新品种的引进和试验示范，如杂交高粱、油葵等。引进耐盐碱作物品种玉米、油葵、高粱、牧草等新品种7个，在星海镇、礼和乡开展对比试验。2025年推广耐盐作物3万亩，配套轻简栽培技术，目标亩均增收300元以上。创新推广“大豆-菟丝子”间作模式，通过构建豆科作物与药用寄生植物的协同种植体系，实现土壤养分高效利用与单位面积产值倍增。监测数据显示，该模式可使大豆单产提升30%以上，菟丝子生物量达300-400kg/亩，综合收益较传统单作增加40%-60%。建立“耐盐作物筛选-高效种植模式-农产品深加工”全产业链技术体系，保障农户种植收益（亩均增收800-1200元），有效破解因土壤盐渍化进程加速导致的农户种植收益保障机制缺失难题。 </w:t>
      </w:r>
    </w:p>
    <w:p w14:paraId="49404F2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二是深入推动化肥减量。</w:t>
      </w:r>
      <w:r>
        <w:rPr>
          <w:rFonts w:hint="default" w:ascii="Times New Roman" w:hAnsi="Times New Roman" w:eastAsia="方正仿宋_GBK" w:cs="Times New Roman"/>
          <w:b w:val="0"/>
          <w:bCs w:val="0"/>
          <w:color w:val="auto"/>
          <w:sz w:val="32"/>
          <w:szCs w:val="32"/>
          <w:lang w:val="en-US" w:eastAsia="zh-CN"/>
        </w:rPr>
        <w:t xml:space="preserve">加大水田改旱田的农田有机肥使用量，提升耕地质量水平，提高种植业化肥施用效率。实施有机肥替代化肥工程，支持利用畜禽粪便生产有机肥厂家的发展，加速奶牛养殖场粪污的转化，推进农业绿色发展。在平罗县、惠农区分别创建有机肥施用与化肥减量化示范区2个，示范面积0.95万亩，在平罗县建设有机肥施用运行机制示范园区1个，下达资金任务95万元。 </w:t>
      </w:r>
    </w:p>
    <w:p w14:paraId="0A2D6FD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三是大力解决灌排矛盾。</w:t>
      </w:r>
      <w:r>
        <w:rPr>
          <w:rFonts w:hint="default" w:ascii="Times New Roman" w:hAnsi="Times New Roman" w:eastAsia="方正仿宋_GBK" w:cs="Times New Roman"/>
          <w:b w:val="0"/>
          <w:bCs w:val="0"/>
          <w:color w:val="auto"/>
          <w:sz w:val="32"/>
          <w:szCs w:val="32"/>
          <w:lang w:val="en-US" w:eastAsia="zh-CN"/>
        </w:rPr>
        <w:t xml:space="preserve">实施高标准农田（高效节水）项目，通过深耕深松、秸秆还田、沟渠砌护、暗管排水等综合措施，显著改善农业生态条件，实现“田成方、渠相通、路相连、旱能灌、涝能排”。2025年计划新建项目6个（11.52万亩），部分项目已进入申报、招标或设计阶段。构建“智慧灌排系统”，联动地下水位监测与暗管排水，在非灌溉期地将下水位控制在1.6米以下，降低重度盐碱区水位，实现精准调控，持续改善水质。 </w:t>
      </w:r>
    </w:p>
    <w:p w14:paraId="06E5F7C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下一步，市农业农村局将联合市水务局积极向上级水务管理部门申请增加石嘴山市种稻区域农业计划用水指标，对2年或者3年水田改旱田盐碱化程度较重的土地，采取统一轮作，每2年或者3年种植一次水稻，用水洗盐，降低土壤返盐程度。构建“有机肥投入-土壤改良-产能提升”的良性循环体系，实现改旱农田地力的系统性恢复，为水权制度改革背景下的农业结构调整提供可持续的技术支撑。 </w:t>
      </w:r>
    </w:p>
    <w:p w14:paraId="42E9561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val="en-US" w:eastAsia="zh-CN"/>
        </w:rPr>
        <w:t>感谢您对农业农村工作的关心，希望继续对“三农”工作给予支持。</w:t>
      </w:r>
    </w:p>
    <w:p w14:paraId="42B2C613">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05DCAB4B">
      <w:pPr>
        <w:pStyle w:val="2"/>
        <w:rPr>
          <w:rFonts w:hint="eastAsia"/>
          <w:lang w:val="en-US" w:eastAsia="zh-CN"/>
        </w:rPr>
      </w:pPr>
    </w:p>
    <w:p w14:paraId="75389F9E">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7058669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7C6DB7D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种植业与农产品质量监管科</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2688113 ）</w:t>
      </w:r>
    </w:p>
    <w:p w14:paraId="5C81BC8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89DB83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E50F16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E3D4E8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E33CD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4790DA5">
      <w:pPr>
        <w:pStyle w:val="13"/>
        <w:ind w:left="0" w:leftChars="0" w:firstLine="0" w:firstLineChars="0"/>
        <w:rPr>
          <w:rFonts w:hint="default" w:ascii="Times New Roman" w:hAnsi="Times New Roman" w:eastAsia="方正仿宋_GBK" w:cs="黑体"/>
          <w:color w:val="auto"/>
          <w:spacing w:val="0"/>
          <w:w w:val="100"/>
          <w:kern w:val="2"/>
          <w:sz w:val="32"/>
          <w:szCs w:val="22"/>
          <w:u w:val="none" w:color="auto"/>
          <w:vertAlign w:val="baseline"/>
          <w:lang w:val="en" w:eastAsia="zh-CN" w:bidi="ar-SA"/>
        </w:rPr>
      </w:pPr>
    </w:p>
    <w:p w14:paraId="5A170E91">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2048094">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4A9AD8C">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03B9E16">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E76BEFC">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9A621F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1" w:name="_GoBack"/>
      <w:bookmarkEnd w:id="1"/>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C34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7F389B7">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27F389B7">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1FCB2C58"/>
    <w:rsid w:val="24B954B7"/>
    <w:rsid w:val="301574EF"/>
    <w:rsid w:val="365D27E5"/>
    <w:rsid w:val="37CB06A0"/>
    <w:rsid w:val="38740181"/>
    <w:rsid w:val="39CD5D7A"/>
    <w:rsid w:val="3A5164D0"/>
    <w:rsid w:val="3FCC1A70"/>
    <w:rsid w:val="525B790B"/>
    <w:rsid w:val="542D2F6A"/>
    <w:rsid w:val="5B3204AE"/>
    <w:rsid w:val="5BDE3E08"/>
    <w:rsid w:val="5FAA1B6C"/>
    <w:rsid w:val="613F4980"/>
    <w:rsid w:val="652341F0"/>
    <w:rsid w:val="67EBF999"/>
    <w:rsid w:val="67FDD0C7"/>
    <w:rsid w:val="6B7EC309"/>
    <w:rsid w:val="6CE78FD0"/>
    <w:rsid w:val="6D5706E5"/>
    <w:rsid w:val="6E1B519C"/>
    <w:rsid w:val="6F77BC1D"/>
    <w:rsid w:val="72A921D9"/>
    <w:rsid w:val="74FE5F09"/>
    <w:rsid w:val="7537AF6C"/>
    <w:rsid w:val="75E9998E"/>
    <w:rsid w:val="77AF0AB9"/>
    <w:rsid w:val="7BDF410A"/>
    <w:rsid w:val="7F3FACDD"/>
    <w:rsid w:val="7FBAA933"/>
    <w:rsid w:val="7FC5FE38"/>
    <w:rsid w:val="7FD7D825"/>
    <w:rsid w:val="7FDB3164"/>
    <w:rsid w:val="7FECB3FA"/>
    <w:rsid w:val="7FFFAF6D"/>
    <w:rsid w:val="7FFFCA07"/>
    <w:rsid w:val="8F7F7A9A"/>
    <w:rsid w:val="9FF9D046"/>
    <w:rsid w:val="AF3F371B"/>
    <w:rsid w:val="AF6BFB8A"/>
    <w:rsid w:val="B7FA8A6B"/>
    <w:rsid w:val="BBF37DCA"/>
    <w:rsid w:val="BBFF754A"/>
    <w:rsid w:val="BFD5F1CA"/>
    <w:rsid w:val="CFF7069C"/>
    <w:rsid w:val="D16F3852"/>
    <w:rsid w:val="DDE07DEC"/>
    <w:rsid w:val="DF363376"/>
    <w:rsid w:val="EFFBE039"/>
    <w:rsid w:val="F7FFA95B"/>
    <w:rsid w:val="FADE3980"/>
    <w:rsid w:val="FBDF58B3"/>
    <w:rsid w:val="FBDF60CE"/>
    <w:rsid w:val="FE7E52A0"/>
    <w:rsid w:val="FF1F0AE6"/>
    <w:rsid w:val="FF8F1B2A"/>
    <w:rsid w:val="FFBC186A"/>
    <w:rsid w:val="FFD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5">
    <w:name w:val="heading 3"/>
    <w:basedOn w:val="1"/>
    <w:next w:val="1"/>
    <w:link w:val="14"/>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21"/>
      <w:szCs w:val="24"/>
      <w:lang w:bidi="ar-SA"/>
    </w:rPr>
  </w:style>
  <w:style w:type="paragraph" w:styleId="6">
    <w:name w:val="Body Text"/>
    <w:basedOn w:val="1"/>
    <w:qFormat/>
    <w:uiPriority w:val="0"/>
    <w:pPr>
      <w:spacing w:after="120" w:afterLines="0"/>
    </w:pPr>
    <w:rPr>
      <w:rFonts w:eastAsia="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2">
    <w:name w:val="Normal Indent1"/>
    <w:qFormat/>
    <w:uiPriority w:val="0"/>
    <w:pPr>
      <w:ind w:firstLine="420" w:firstLineChars="200"/>
      <w:jc w:val="both"/>
    </w:pPr>
    <w:rPr>
      <w:rFonts w:ascii="Calibri" w:hAnsi="Calibri" w:eastAsia="宋体" w:cs="Times New Roman"/>
      <w:kern w:val="2"/>
      <w:sz w:val="21"/>
    </w:rPr>
  </w:style>
  <w:style w:type="paragraph" w:customStyle="1" w:styleId="13">
    <w:name w:val="NormalIndent"/>
    <w:basedOn w:val="1"/>
    <w:qFormat/>
    <w:uiPriority w:val="0"/>
    <w:pPr>
      <w:spacing w:line="300" w:lineRule="auto"/>
      <w:ind w:firstLine="420"/>
      <w:jc w:val="both"/>
    </w:pPr>
    <w:rPr>
      <w:kern w:val="2"/>
      <w:sz w:val="24"/>
      <w:szCs w:val="24"/>
      <w:lang w:val="en-US" w:eastAsia="zh-CN"/>
    </w:rPr>
  </w:style>
  <w:style w:type="character" w:customStyle="1" w:styleId="14">
    <w:name w:val="标题 3 Char"/>
    <w:link w:val="5"/>
    <w:qFormat/>
    <w:uiPriority w:val="0"/>
    <w:rPr>
      <w:rFonts w:eastAsia="方正楷体_GBK"/>
      <w:b/>
      <w:sz w:val="32"/>
    </w:rPr>
  </w:style>
  <w:style w:type="paragraph" w:customStyle="1" w:styleId="15">
    <w:name w:val="首行缩进"/>
    <w:basedOn w:val="1"/>
    <w:qFormat/>
    <w:uiPriority w:val="0"/>
    <w:pPr>
      <w:ind w:firstLine="480" w:firstLineChars="200"/>
    </w:pPr>
    <w:rPr>
      <w:lang w:val="zh-CN"/>
    </w:rPr>
  </w:style>
  <w:style w:type="paragraph" w:customStyle="1" w:styleId="16">
    <w:name w:val="样式6"/>
    <w:basedOn w:val="1"/>
    <w:qFormat/>
    <w:uiPriority w:val="0"/>
    <w:pPr>
      <w:tabs>
        <w:tab w:val="left" w:pos="1134"/>
      </w:tabs>
      <w:spacing w:before="120" w:beforeLines="50" w:after="120" w:afterLines="50" w:line="560" w:lineRule="exact"/>
      <w:ind w:firstLine="600" w:firstLineChars="200"/>
    </w:pPr>
    <w:rPr>
      <w:rFonts w:ascii="仿宋" w:hAnsi="仿宋" w:eastAsia="仿宋"/>
      <w:sz w:val="30"/>
      <w:szCs w:val="3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1170</Words>
  <Characters>1236</Characters>
  <Lines>0</Lines>
  <Paragraphs>0</Paragraphs>
  <TotalTime>0</TotalTime>
  <ScaleCrop>false</ScaleCrop>
  <LinksUpToDate>false</LinksUpToDate>
  <CharactersWithSpaces>1272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2023-08-01T22:36:00Z</dcterms:created>
  <dc:creator>oo-┈→γùê℡~</dc:creator>
  <cp:lastModifiedBy>zhx</cp:lastModifiedBy>
  <dcterms:modified xsi:type="dcterms:W3CDTF">2025-10-30T10:31:47Z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EF3CC32CF1744E5EBC08BBEC745C29C2_13</vt:lpwstr>
  </property>
  <property fmtid="{D5CDD505-2E9C-101B-9397-08002B2CF9AE}" pid="4" name="KSOTemplateDocerSaveRecord">
    <vt:lpwstr>eyJoZGlkIjoiZWRkYmU4YWUyMmY2NDgyMWRkNGFhOTU3ZTNkZDQxOGEiLCJ1c2VySWQiOiIxMTMwNDg3MjU2In0=</vt:lpwstr>
  </property>
</Properties>
</file>