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5E21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right"/>
        <w:outlineLvl w:val="9"/>
        <w:rPr>
          <w:rFonts w:hint="eastAsia" w:ascii="Times New Roman" w:hAnsi="Times New Roman" w:eastAsia="方正小标宋_GBK" w:cs="黑体"/>
          <w:kern w:val="2"/>
          <w:sz w:val="44"/>
          <w:szCs w:val="44"/>
          <w:lang w:bidi="ar-SA"/>
        </w:rPr>
      </w:pPr>
    </w:p>
    <w:p w14:paraId="43530603">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34</w:t>
      </w:r>
      <w:r>
        <w:rPr>
          <w:rFonts w:hint="eastAsia" w:ascii="Times New Roman" w:hAnsi="Times New Roman" w:eastAsia="方正仿宋_GBK" w:cs="Times New Roman"/>
          <w:kern w:val="2"/>
          <w:sz w:val="32"/>
          <w:szCs w:val="32"/>
          <w:lang w:bidi="ar-SA"/>
        </w:rPr>
        <w:t>号</w:t>
      </w:r>
    </w:p>
    <w:p w14:paraId="7DA59DF3">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906AE99">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方正小标宋简体" w:hAnsi="方正小标宋简体" w:eastAsia="方正小标宋简体" w:cs="方正小标宋简体"/>
          <w:sz w:val="44"/>
          <w:szCs w:val="44"/>
          <w:lang w:val="en-US" w:eastAsia="zh-CN"/>
        </w:rPr>
        <w:t>关于市</w:t>
      </w:r>
      <w:r>
        <w:rPr>
          <w:rFonts w:hint="eastAsia" w:ascii="方正小标宋简体" w:hAnsi="方正小标宋简体" w:eastAsia="方正小标宋简体" w:cs="方正小标宋简体"/>
          <w:sz w:val="44"/>
          <w:szCs w:val="44"/>
          <w:lang w:val="en-US" w:eastAsia="zh-CN"/>
        </w:rPr>
        <w:t>政协十二届四</w:t>
      </w:r>
      <w:r>
        <w:rPr>
          <w:rFonts w:hint="default" w:ascii="方正小标宋简体" w:hAnsi="方正小标宋简体" w:eastAsia="方正小标宋简体" w:cs="方正小标宋简体"/>
          <w:sz w:val="44"/>
          <w:szCs w:val="44"/>
          <w:lang w:val="en-US" w:eastAsia="zh-CN"/>
        </w:rPr>
        <w:t>次会议</w:t>
      </w:r>
      <w:r>
        <w:rPr>
          <w:rFonts w:hint="default" w:ascii="Times New Roman" w:hAnsi="Times New Roman" w:eastAsia="方正小标宋简体" w:cs="Times New Roman"/>
          <w:sz w:val="44"/>
          <w:szCs w:val="44"/>
          <w:lang w:val="en-US" w:eastAsia="zh-CN"/>
        </w:rPr>
        <w:t>第29号并案2-1</w:t>
      </w:r>
    </w:p>
    <w:p w14:paraId="4BB087FB">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提案答复的函</w:t>
      </w:r>
    </w:p>
    <w:p w14:paraId="1DCCA3B4">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0291249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民革市委会：</w:t>
      </w:r>
    </w:p>
    <w:p w14:paraId="435A558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民革市委会提出的“关于加快推动我市预制菜产业发展的提案”收悉，现答复如下：</w:t>
      </w:r>
    </w:p>
    <w:p w14:paraId="0B10FB60">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一、基本情况</w:t>
      </w:r>
    </w:p>
    <w:p w14:paraId="53406051">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bookmarkStart w:id="0" w:name="OLE_LINK1"/>
      <w:r>
        <w:rPr>
          <w:rFonts w:hint="default" w:ascii="Times New Roman" w:hAnsi="Times New Roman" w:eastAsia="方正仿宋_GBK" w:cs="Times New Roman"/>
          <w:b w:val="0"/>
          <w:bCs w:val="0"/>
          <w:color w:val="auto"/>
          <w:sz w:val="32"/>
          <w:szCs w:val="32"/>
          <w:lang w:val="en-US" w:eastAsia="zh-CN"/>
        </w:rPr>
        <w:t>目前全市预制菜生产企业共14家（大武口区2家、惠农区5家、平罗县7家），产品包括牛羊肉、带鱼罐头，牛羊肉火锅、辣椒酱等50多个预制菜品。2024年预制菜产品产量8100吨，共实现营业收入13930万元，可带动1300余人稳定就业，年吸纳季节性劳动用工1.2万人次。</w:t>
      </w:r>
    </w:p>
    <w:bookmarkEnd w:id="0"/>
    <w:p w14:paraId="424D5241">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二、推进措施与取得成效</w:t>
      </w:r>
    </w:p>
    <w:p w14:paraId="3C04447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（一）加大政策资金支持。</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打造预制菜产业试点县。通过自治区下达我市100万预制菜试点县项目资金，鼓励预制菜企业与高校、科研机构建立紧密的合作关系，共同开展预制菜技术研发，加速科技成果的转化和应用，对迎春、宁羊、宝丰牛羊3家企业给予以奖代补资金100万元。</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加强政企合作联动。大武口区政府与欣海情公司签订预制菜产业基地项目合作协议，就建设符合国家标准的预制菜加工厂，完善净化车间、产品研发中心、电商销售平台、实验室等配套设施，在财政补贴、融资等方面给予大力支持，并购置297万元生产设备供欣海情公司无偿使用三年，着力打造预制菜产业链主企业，加快推进预制菜产业高质量发展。</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培育预制菜产业链“链主”企业。实施农业产业化全产业链项目，优化提升产业链供应链水平，打通全产业链上中下游环节，通过企业自主申报、县区初审、市级评审的程序，认定宝丰牛羊肉为我市农业产业化全产业链实施主体，发放奖补资金30万元，推动由“卖原料”向“卖加工品”转变，由“卖产品”向“卖服务”转变。</w:t>
      </w:r>
      <w:r>
        <w:rPr>
          <w:rFonts w:hint="default" w:ascii="Times New Roman" w:hAnsi="Times New Roman" w:eastAsia="方正仿宋_GBK" w:cs="Times New Roman"/>
          <w:b/>
          <w:bCs/>
          <w:color w:val="auto"/>
          <w:sz w:val="32"/>
          <w:szCs w:val="32"/>
          <w:lang w:val="en-US" w:eastAsia="zh-CN"/>
        </w:rPr>
        <w:t>四是</w:t>
      </w:r>
      <w:r>
        <w:rPr>
          <w:rFonts w:hint="default" w:ascii="Times New Roman" w:hAnsi="Times New Roman" w:eastAsia="方正仿宋_GBK" w:cs="Times New Roman"/>
          <w:b w:val="0"/>
          <w:bCs w:val="0"/>
          <w:color w:val="auto"/>
          <w:sz w:val="32"/>
          <w:szCs w:val="32"/>
          <w:lang w:val="en-US" w:eastAsia="zh-CN"/>
        </w:rPr>
        <w:t>支持引进市场主体。围绕预制菜全产业链，引入湖南渔业预制菜深加工成熟模式，成立宁湘源食品有限公司，建设全区首家白鲢鱼加工基地，填补本土渔业加工空白，构建标准化产供销体系，聚焦白鲢鱼开发鱼排、鱼尾等初加工产品，极大</w:t>
      </w:r>
      <w:r>
        <w:rPr>
          <w:rFonts w:hint="eastAsia" w:cs="Times New Roman"/>
          <w:b w:val="0"/>
          <w:bCs w:val="0"/>
          <w:color w:val="auto"/>
          <w:sz w:val="32"/>
          <w:szCs w:val="32"/>
          <w:lang w:val="en-US" w:eastAsia="zh-CN"/>
        </w:rPr>
        <w:t>地</w:t>
      </w:r>
      <w:r>
        <w:rPr>
          <w:rFonts w:hint="default" w:ascii="Times New Roman" w:hAnsi="Times New Roman" w:eastAsia="方正仿宋_GBK" w:cs="Times New Roman"/>
          <w:b w:val="0"/>
          <w:bCs w:val="0"/>
          <w:color w:val="auto"/>
          <w:sz w:val="32"/>
          <w:szCs w:val="32"/>
          <w:lang w:val="en-US" w:eastAsia="zh-CN"/>
        </w:rPr>
        <w:t>丰富了我市预制菜产业体系，预计年收入可达1500万，解决就业岗位50个，实现跨区域的产业联动与共赢。</w:t>
      </w:r>
    </w:p>
    <w:p w14:paraId="15FD4AB9">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（二）加快产业集群发展。</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鼓励园区进行基础设施提升。争取自治区农产品加工园区或集聚区基础设施改造提升项目资金200万元，对红果子绿色食品加工园区和大武口区现代农业产业园进行基础设施改造提升，鼓励园区管委会盘活园区闲置低效用地及空置厂房，改造提升园区水、电、厂房等基础设施，实行企业入园优惠政策。</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支持企业开展技改扩建。2023年以来依托自治区农产品加工（预制菜）装备改造升级项目，对弯师傅、欣海情、碧草洲等3家预制菜企业拨付奖补资金150万元，助力企业开展加工设备更新、技术引进、产品研发和市场开拓。</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实施贷款贴息政策。利用自治区预制菜产业贷款贴息项目，加快推动预制菜产业金融介入工作，从2024年开始连续两年对鲜到伊城、宁羊等11家预制菜企业实施贷款贴息补贴政策，累计发放贷款贴息75.65万元，鼓励激励各类农业经营主体参与预制菜产业发展，撬动更多金融和社会资本投向预制菜产业。</w:t>
      </w:r>
    </w:p>
    <w:p w14:paraId="4CF14738">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（三）持续扩大品牌影响力。</w:t>
      </w:r>
      <w:r>
        <w:rPr>
          <w:rFonts w:hint="default" w:ascii="Times New Roman" w:hAnsi="Times New Roman" w:eastAsia="方正仿宋_GBK" w:cs="Times New Roman"/>
          <w:b w:val="0"/>
          <w:bCs w:val="0"/>
          <w:color w:val="auto"/>
          <w:sz w:val="32"/>
          <w:szCs w:val="32"/>
          <w:lang w:val="en-US" w:eastAsia="zh-CN"/>
        </w:rPr>
        <w:t>联合石嘴山市新闻传媒中心为全市优秀预制菜企业制作6期宣传视频，通过石嘴山电视台、石嘴山网公众号、学习强国APP网络平台和主流媒体等渠道进行广泛宣传，不断推进农业品牌建设，加强产销对接和市场拓展。修改《石嘴山市特色农产品名录》，将我市优秀预制菜企业与产品纳入名录，不断丰富我市特色农产品种类，拓升我市预制菜企业知名度。积极与农业农村部、自治区农产品质量安全中心沟通，选定6家小公牛养殖企业，作为“石嘴山小公牛”区域公用品牌申报主要生产经营主体“石嘴山小公牛”目前已被全国名特优新农产品名录收集登记。组织嘉禾花语、宁羊等优质预制菜企业参加第9届中国南亚博览会暨第29届中国昆明进出口商品交易会、宁夏精品中国行（北京站）暨宁夏特色农产品进部委进央企进高校系列活动等区外知名展会，鼓励宝丰牛羊肉在区外开设“西夏肉铺”外销窗口，协助宁羊农牧等具有地方特色和民族风味预制菜品通过新华百货、北京华联、民为鲜、天天鲜等上百家社区生活超市等线下商超和淘宝、京东、天猫等线上平台开展销售，进一步扩大了我市预制菜品牌的知名度和群众的知晓度、认可度。</w:t>
      </w:r>
    </w:p>
    <w:p w14:paraId="2EAA735F">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bookmarkStart w:id="1" w:name="OLE_LINK2"/>
      <w:r>
        <w:rPr>
          <w:rFonts w:hint="default" w:ascii="方正楷体_GBK" w:hAnsi="方正楷体_GBK" w:eastAsia="方正楷体_GBK" w:cs="方正楷体_GBK"/>
          <w:b w:val="0"/>
          <w:bCs w:val="0"/>
          <w:color w:val="auto"/>
          <w:sz w:val="32"/>
          <w:szCs w:val="32"/>
          <w:lang w:val="en-US" w:eastAsia="zh-CN"/>
        </w:rPr>
        <w:t>（四）培育产业技能人才。</w:t>
      </w:r>
      <w:r>
        <w:rPr>
          <w:rFonts w:hint="default" w:ascii="Times New Roman" w:hAnsi="Times New Roman" w:eastAsia="方正仿宋_GBK" w:cs="Times New Roman"/>
          <w:b w:val="0"/>
          <w:bCs w:val="0"/>
          <w:color w:val="auto"/>
          <w:sz w:val="32"/>
          <w:szCs w:val="32"/>
          <w:lang w:val="en-US" w:eastAsia="zh-CN"/>
        </w:rPr>
        <w:t>通过加强政策</w:t>
      </w:r>
      <w:bookmarkEnd w:id="1"/>
      <w:r>
        <w:rPr>
          <w:rFonts w:hint="default" w:ascii="Times New Roman" w:hAnsi="Times New Roman" w:eastAsia="方正仿宋_GBK" w:cs="Times New Roman"/>
          <w:b w:val="0"/>
          <w:bCs w:val="0"/>
          <w:color w:val="auto"/>
          <w:sz w:val="32"/>
          <w:szCs w:val="32"/>
          <w:lang w:val="en-US" w:eastAsia="zh-CN"/>
        </w:rPr>
        <w:t>引导，以需求牵引、创新驱动、品牌培育、标准创设为重点，制定印发《关于做好2025年度政府补贴性职业技能培训工作的通知》，将中式烹调、中式面点等预制菜烹调相关职业(工种)纳入政府补贴性职业技能培训范围，助力预制菜烹调类技能人才培养。组织预制菜企业参加国家食品风险评估中心视频培训，学习《食品添加剂使用标准》(GB2760-2024)《调制肉制品生产卫生规范》(GB31661-2025)，组织企业参加宁夏食品安全协会在银川举办的“肉及肉制品质量安全管理紧缺人才培训班”，全市开展相关职业(工种)技能培训370人，培养高技能人才70人，为预制菜产业发展提供强力技能人才支撑，进一步提升了肉制品企业的质量安全意识与生产管理水平。</w:t>
      </w:r>
    </w:p>
    <w:p w14:paraId="54614701">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（五）加强行业生产监管。</w:t>
      </w:r>
      <w:r>
        <w:rPr>
          <w:rFonts w:hint="default" w:ascii="Times New Roman" w:hAnsi="Times New Roman" w:eastAsia="方正仿宋_GBK" w:cs="Times New Roman"/>
          <w:b w:val="0"/>
          <w:bCs w:val="0"/>
          <w:color w:val="auto"/>
          <w:sz w:val="32"/>
          <w:szCs w:val="32"/>
          <w:lang w:val="en-US" w:eastAsia="zh-CN"/>
        </w:rPr>
        <w:t>结合2024年至2025年肉制品专项整治工作部署，对石山市预制肉制品生产企业开展了全面监督检查。在检查过程中，发现宁夏欣海情食品科技有限公司存在进货查验记录内容缺少生产许可证号及检验合格证编号、关键质量控制点记录内容与工艺文件中标注的关键控制点不相符等问题,石嘴山市市场监督管理局督促其迅速落实整改措施，确保企业生产经营活动符合食品安全标准。在对宁夏宁羊农牧发展有限公司和宁夏滢宏盛牛羊肉食品有限公司监督检查中，发现两家企业食品安全主体责任意识淡薄,在生产现场均发现了食品超过保质期未进行显著标示存放的问题，依法予以查处。同时，严格落实“处罚到人”要求，对相关责任人进行严肃问责，促使企业深刻反思，切实增强企业责任意识，杜绝类似问题再次发生。</w:t>
      </w:r>
    </w:p>
    <w:p w14:paraId="10A86E0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三、下一步工作计划</w:t>
      </w:r>
    </w:p>
    <w:p w14:paraId="7DA056A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（一）加强基地建设，提升原材料保供能力。</w:t>
      </w:r>
      <w:r>
        <w:rPr>
          <w:rFonts w:hint="default" w:ascii="Times New Roman" w:hAnsi="Times New Roman" w:eastAsia="方正仿宋_GBK" w:cs="Times New Roman"/>
          <w:b w:val="0"/>
          <w:bCs w:val="0"/>
          <w:color w:val="auto"/>
          <w:sz w:val="32"/>
          <w:szCs w:val="32"/>
          <w:lang w:val="en-US" w:eastAsia="zh-CN"/>
        </w:rPr>
        <w:t>立足惠农区绿色食品加工科技产业园和大武口区现代农产品加工产业园实际，完善园区企业入驻及退出机制，不断提升园区企业承载能力，打造我市预制菜产业发展两翼。利用我市特色和资源禀赋，科学规划种养殖生产基地，不断打造牛羊肉等本地优质原料供应基地，鼓励预制菜企业通过自建基地、区域订单基地等多种方式，稳定原料供应，保障质量品质，推动预制菜产业向链条前端延伸。</w:t>
      </w:r>
    </w:p>
    <w:p w14:paraId="3A132FAA">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（二）强化延链补链，提升产业集聚发展效能。</w:t>
      </w:r>
      <w:r>
        <w:rPr>
          <w:rFonts w:hint="default" w:ascii="Times New Roman" w:hAnsi="Times New Roman" w:eastAsia="方正仿宋_GBK" w:cs="Times New Roman"/>
          <w:b w:val="0"/>
          <w:bCs w:val="0"/>
          <w:color w:val="auto"/>
          <w:sz w:val="32"/>
          <w:szCs w:val="32"/>
          <w:lang w:val="en-US" w:eastAsia="zh-CN"/>
        </w:rPr>
        <w:t>围绕预制菜产业定位，开展“产业链”招商，在惠农区和大武口两个加工园区，招引一批与预制菜相关联的蔬菜生产、加工处理、仓储保鲜、冷链配送、产品销售等企业入驻园区，进一步延长产业链、优化供应链、提升价值链，全面推进预制菜上中下游产业协同发展，形成链上企业抱团发展、共同成长的发展格局。</w:t>
      </w:r>
    </w:p>
    <w:p w14:paraId="5AB8D574">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（三）加强统筹规划，提升政策支持保障能力。</w:t>
      </w:r>
      <w:r>
        <w:rPr>
          <w:rFonts w:hint="default" w:ascii="Times New Roman" w:hAnsi="Times New Roman" w:eastAsia="方正仿宋_GBK" w:cs="Times New Roman"/>
          <w:b w:val="0"/>
          <w:bCs w:val="0"/>
          <w:color w:val="auto"/>
          <w:sz w:val="32"/>
          <w:szCs w:val="32"/>
          <w:lang w:val="en-US" w:eastAsia="zh-CN"/>
        </w:rPr>
        <w:t>完善预制菜产业中长期规划，建立健全园区建设、招商引资、企业培育、产业配套、品牌创建、融资借贷、人力资源等相关配套政策，强化统筹协调和责任落实，做好服务指导，及时纾困解难。积极对接自治区农业农村厅，争取创建大武口区净菜加工、精深加工示范县和农产品加工装备改造升级等项目资金，围绕设备改造、工艺提升等方面推动石嘴山市预制菜产业高质量发展。</w:t>
      </w:r>
    </w:p>
    <w:p w14:paraId="4184F906">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（四）推动品牌建设，提升品牌知名度和影响力。</w:t>
      </w:r>
      <w:r>
        <w:rPr>
          <w:rFonts w:hint="default" w:ascii="Times New Roman" w:hAnsi="Times New Roman" w:eastAsia="方正仿宋_GBK" w:cs="Times New Roman"/>
          <w:b w:val="0"/>
          <w:bCs w:val="0"/>
          <w:color w:val="auto"/>
          <w:sz w:val="32"/>
          <w:szCs w:val="32"/>
          <w:lang w:val="en-US" w:eastAsia="zh-CN"/>
        </w:rPr>
        <w:t>挖掘地方美食文化内涵，做好富硒农产品文章，积极构建“石嘴山小公牛”“黄渠桥羊羔肉”“宁羊”等区域公共品牌和企业商业品牌联动机制，加强行业监管，严抓产品质量、打造标准体系。以欣海情为主体邀请区内外美食专家、烹饪大师，举办以“喝牛奶长大的小公牛”为食材的“厨王争霸赛”“预制菜大赛”“美食节”等活动，鼓励企业参加国内外预制菜展会，持续提升我市产品知名度和影响力。</w:t>
      </w:r>
    </w:p>
    <w:p w14:paraId="1ED34DEE">
      <w:pPr>
        <w:keepNext w:val="0"/>
        <w:keepLines w:val="0"/>
        <w:pageBreakBefore w:val="0"/>
        <w:widowControl w:val="0"/>
        <w:kinsoku/>
        <w:wordWrap/>
        <w:overflowPunct/>
        <w:topLinePunct w:val="0"/>
        <w:autoSpaceDE/>
        <w:autoSpaceDN/>
        <w:bidi w:val="0"/>
        <w:adjustRightInd/>
        <w:snapToGrid w:val="0"/>
        <w:spacing w:line="560" w:lineRule="exact"/>
        <w:rPr>
          <w:rFonts w:hint="default" w:ascii="Times New Roman" w:hAnsi="Times New Roman" w:eastAsia="方正仿宋_GBK" w:cs="Times New Roman"/>
          <w:color w:val="auto"/>
          <w:sz w:val="32"/>
          <w:szCs w:val="32"/>
        </w:rPr>
      </w:pPr>
    </w:p>
    <w:p w14:paraId="42E61591">
      <w:pPr>
        <w:keepNext w:val="0"/>
        <w:keepLines w:val="0"/>
        <w:pageBreakBefore w:val="0"/>
        <w:widowControl w:val="0"/>
        <w:kinsoku/>
        <w:wordWrap/>
        <w:overflowPunct/>
        <w:topLinePunct w:val="0"/>
        <w:autoSpaceDE/>
        <w:autoSpaceDN/>
        <w:bidi w:val="0"/>
        <w:adjustRightInd/>
        <w:snapToGrid w:val="0"/>
        <w:spacing w:line="560" w:lineRule="exact"/>
        <w:rPr>
          <w:rFonts w:hint="eastAsia" w:cs="Times New Roman"/>
          <w:color w:val="auto"/>
          <w:sz w:val="32"/>
          <w:szCs w:val="32"/>
          <w:lang w:val="en-US" w:eastAsia="zh-CN"/>
        </w:rPr>
      </w:pPr>
    </w:p>
    <w:p w14:paraId="63EBDA22">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0251CDD7">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12CB862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市农经中心</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w:t>
      </w:r>
      <w:r>
        <w:rPr>
          <w:rFonts w:hint="eastAsia" w:cs="Times New Roman"/>
          <w:color w:val="000000"/>
          <w:spacing w:val="-20"/>
          <w:w w:val="100"/>
          <w:kern w:val="2"/>
          <w:sz w:val="32"/>
          <w:szCs w:val="24"/>
          <w:u w:val="none" w:color="auto"/>
          <w:vertAlign w:val="baseline"/>
          <w:lang w:val="en-US" w:eastAsia="zh-CN" w:bidi="ar-SA"/>
        </w:rPr>
        <w:t>2030107 ）</w:t>
      </w:r>
    </w:p>
    <w:p w14:paraId="2F9CB21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B43BF7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bookmarkStart w:id="2" w:name="_GoBack"/>
      <w:bookmarkEnd w:id="2"/>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E2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B6CC397">
                          <w:pPr>
                            <w:pStyle w:val="6"/>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1B6CC397">
                    <w:pPr>
                      <w:pStyle w:val="6"/>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0A7E7F05"/>
    <w:rsid w:val="10D7195A"/>
    <w:rsid w:val="11D20850"/>
    <w:rsid w:val="154C4B63"/>
    <w:rsid w:val="17FC59C9"/>
    <w:rsid w:val="1CC75448"/>
    <w:rsid w:val="24B954B7"/>
    <w:rsid w:val="301574EF"/>
    <w:rsid w:val="365D27E5"/>
    <w:rsid w:val="37CB06A0"/>
    <w:rsid w:val="38740181"/>
    <w:rsid w:val="39CD5D7A"/>
    <w:rsid w:val="3A5164D0"/>
    <w:rsid w:val="3EC7B3FD"/>
    <w:rsid w:val="3F513CA7"/>
    <w:rsid w:val="3FCC1A70"/>
    <w:rsid w:val="525B790B"/>
    <w:rsid w:val="542D2F6A"/>
    <w:rsid w:val="5B3204AE"/>
    <w:rsid w:val="5FAA1B6C"/>
    <w:rsid w:val="5FEF560B"/>
    <w:rsid w:val="613F4980"/>
    <w:rsid w:val="652341F0"/>
    <w:rsid w:val="675DA70A"/>
    <w:rsid w:val="67EBF999"/>
    <w:rsid w:val="67FDD0C7"/>
    <w:rsid w:val="6B7EC309"/>
    <w:rsid w:val="6CE78FD0"/>
    <w:rsid w:val="6D5706E5"/>
    <w:rsid w:val="6E1B519C"/>
    <w:rsid w:val="6FFF0CC0"/>
    <w:rsid w:val="72A921D9"/>
    <w:rsid w:val="74FE5F09"/>
    <w:rsid w:val="7537AF6C"/>
    <w:rsid w:val="75E9998E"/>
    <w:rsid w:val="77AF0AB9"/>
    <w:rsid w:val="7F3FACDD"/>
    <w:rsid w:val="7FC5FE38"/>
    <w:rsid w:val="7FDB3164"/>
    <w:rsid w:val="7FFFCA07"/>
    <w:rsid w:val="8F7F7A9A"/>
    <w:rsid w:val="9EB77B1A"/>
    <w:rsid w:val="9FF9D046"/>
    <w:rsid w:val="AF3F371B"/>
    <w:rsid w:val="AF6BFB8A"/>
    <w:rsid w:val="B7FA8A6B"/>
    <w:rsid w:val="BBF37DCA"/>
    <w:rsid w:val="BBFF754A"/>
    <w:rsid w:val="BFD5F1CA"/>
    <w:rsid w:val="D16F3852"/>
    <w:rsid w:val="DDE07DEC"/>
    <w:rsid w:val="DF363376"/>
    <w:rsid w:val="E7FBBCF6"/>
    <w:rsid w:val="EAD55E43"/>
    <w:rsid w:val="EFFBE039"/>
    <w:rsid w:val="F03DA96E"/>
    <w:rsid w:val="FAFEA1EC"/>
    <w:rsid w:val="FBDF60CE"/>
    <w:rsid w:val="FE66C070"/>
    <w:rsid w:val="FE7E52A0"/>
    <w:rsid w:val="FF1F0AE6"/>
    <w:rsid w:val="FF8F1B2A"/>
    <w:rsid w:val="FFBC186A"/>
    <w:rsid w:val="FFD42F03"/>
    <w:rsid w:val="FFE6CBE9"/>
    <w:rsid w:val="FFFA6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4">
    <w:name w:val="heading 3"/>
    <w:basedOn w:val="1"/>
    <w:next w:val="1"/>
    <w:link w:val="13"/>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pPr>
    <w:rPr>
      <w:rFonts w:eastAsia="仿宋_GB231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11">
    <w:name w:val="Normal Indent1"/>
    <w:qFormat/>
    <w:uiPriority w:val="0"/>
    <w:pPr>
      <w:ind w:firstLine="420" w:firstLineChars="200"/>
      <w:jc w:val="both"/>
    </w:pPr>
    <w:rPr>
      <w:rFonts w:ascii="Calibri" w:hAnsi="Calibri" w:eastAsia="宋体" w:cs="Times New Roman"/>
      <w:kern w:val="2"/>
      <w:sz w:val="21"/>
    </w:rPr>
  </w:style>
  <w:style w:type="paragraph" w:customStyle="1" w:styleId="12">
    <w:name w:val="NormalIndent"/>
    <w:basedOn w:val="1"/>
    <w:qFormat/>
    <w:uiPriority w:val="0"/>
    <w:pPr>
      <w:spacing w:line="300" w:lineRule="auto"/>
      <w:ind w:firstLine="420"/>
      <w:jc w:val="both"/>
    </w:pPr>
    <w:rPr>
      <w:kern w:val="2"/>
      <w:sz w:val="24"/>
      <w:szCs w:val="24"/>
      <w:lang w:val="en-US" w:eastAsia="zh-CN"/>
    </w:rPr>
  </w:style>
  <w:style w:type="character" w:customStyle="1" w:styleId="13">
    <w:name w:val="标题 3 Char"/>
    <w:link w:val="4"/>
    <w:qFormat/>
    <w:uiPriority w:val="0"/>
    <w:rPr>
      <w:rFonts w:eastAsia="方正楷体_GBK"/>
      <w:b/>
      <w:sz w:val="32"/>
    </w:rPr>
  </w:style>
  <w:style w:type="paragraph" w:customStyle="1" w:styleId="14">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3079</Words>
  <Characters>3192</Characters>
  <Lines>0</Lines>
  <Paragraphs>0</Paragraphs>
  <TotalTime>0</TotalTime>
  <ScaleCrop>false</ScaleCrop>
  <LinksUpToDate>false</LinksUpToDate>
  <CharactersWithSpaces>3223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2023-08-02T06:36:00Z</dcterms:created>
  <dc:creator>oo-┈→γùê℡~</dc:creator>
  <cp:lastModifiedBy>zhx</cp:lastModifiedBy>
  <dcterms:modified xsi:type="dcterms:W3CDTF">2025-10-30T10:27:09Z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CE8E192C191F4E1FB975637A3779E1BD_13</vt:lpwstr>
  </property>
  <property fmtid="{D5CDD505-2E9C-101B-9397-08002B2CF9AE}" pid="4" name="KSOTemplateDocerSaveRecord">
    <vt:lpwstr>eyJoZGlkIjoiZWRkYmU4YWUyMmY2NDgyMWRkNGFhOTU3ZTNkZDQxOGEiLCJ1c2VySWQiOiIxMTMwNDg3MjU2In0=</vt:lpwstr>
  </property>
</Properties>
</file>